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EF2" w:rsidRDefault="00007E03">
      <w:pPr>
        <w:pStyle w:val="Default"/>
        <w:spacing w:after="0" w:line="100" w:lineRule="atLeast"/>
      </w:pPr>
      <w:r>
        <w:rPr>
          <w:rFonts w:ascii="Arial" w:eastAsia="Batang" w:hAnsi="Arial" w:cs="Arial"/>
          <w:b/>
          <w:color w:val="000000"/>
          <w:sz w:val="23"/>
          <w:szCs w:val="23"/>
          <w:lang w:eastAsia="ko-KR"/>
        </w:rPr>
        <w:t>HOW DO WE ‘DO’ POST-DISCHARGE CARE IN OLDER PEOPLE? MS KIM, MJ CONNOLLY, JB BROAD, X ZHANG, K BLOOMFIELD. FREEMASONS’ DEPARTMENT OF GERIATRIC MEDICINE, UNIVERSITY OF AUCKLAND.</w:t>
      </w:r>
    </w:p>
    <w:p w:rsidR="00AE0EF2" w:rsidRDefault="00AE0EF2">
      <w:pPr>
        <w:pStyle w:val="Default"/>
        <w:spacing w:after="0" w:line="100" w:lineRule="atLeast"/>
      </w:pPr>
    </w:p>
    <w:p w:rsidR="00AE0EF2" w:rsidRDefault="00007E03">
      <w:pPr>
        <w:pStyle w:val="Default"/>
        <w:spacing w:after="0" w:line="100" w:lineRule="atLeast"/>
      </w:pPr>
      <w:r>
        <w:rPr>
          <w:rFonts w:ascii="Arial" w:eastAsia="Batang" w:hAnsi="Arial" w:cs="Arial"/>
          <w:b/>
          <w:color w:val="000000"/>
          <w:sz w:val="23"/>
          <w:szCs w:val="23"/>
          <w:lang w:eastAsia="ko-KR"/>
        </w:rPr>
        <w:t xml:space="preserve">Introduction </w:t>
      </w:r>
      <w:r>
        <w:rPr>
          <w:rFonts w:ascii="Arial" w:hAnsi="Arial" w:cs="Arial"/>
          <w:color w:val="222222"/>
          <w:sz w:val="23"/>
          <w:szCs w:val="23"/>
        </w:rPr>
        <w:t xml:space="preserve">Home-hospital transitions are frequent among acutely ill older </w:t>
      </w:r>
      <w:r>
        <w:rPr>
          <w:rFonts w:ascii="Arial" w:hAnsi="Arial" w:cs="Arial"/>
          <w:color w:val="222222"/>
          <w:sz w:val="23"/>
          <w:szCs w:val="23"/>
        </w:rPr>
        <w:t>people, and may be reduced (fewer readmissions) by post-discharge secondary care (PDSC). We aimed to determine the proportion of older patients receiving PDSC after acute hospitalisation and compare outcomes with those not receiving PDSC.</w:t>
      </w:r>
    </w:p>
    <w:p w:rsidR="00AE0EF2" w:rsidRDefault="00007E03">
      <w:pPr>
        <w:pStyle w:val="Default"/>
        <w:spacing w:after="0" w:line="100" w:lineRule="atLeast"/>
      </w:pPr>
      <w:r>
        <w:rPr>
          <w:rFonts w:ascii="Arial" w:eastAsia="Batang" w:hAnsi="Arial" w:cs="Arial"/>
          <w:b/>
          <w:color w:val="000000"/>
          <w:sz w:val="23"/>
          <w:szCs w:val="23"/>
          <w:lang w:eastAsia="ko-KR"/>
        </w:rPr>
        <w:t xml:space="preserve">Methods </w:t>
      </w:r>
      <w:r>
        <w:rPr>
          <w:rFonts w:ascii="Arial" w:hAnsi="Arial" w:cs="Arial"/>
          <w:color w:val="222222"/>
          <w:sz w:val="23"/>
          <w:szCs w:val="23"/>
        </w:rPr>
        <w:t>Retrospec</w:t>
      </w:r>
      <w:r>
        <w:rPr>
          <w:rFonts w:ascii="Arial" w:hAnsi="Arial" w:cs="Arial"/>
          <w:color w:val="222222"/>
          <w:sz w:val="23"/>
          <w:szCs w:val="23"/>
        </w:rPr>
        <w:t xml:space="preserve">tive observational study using computerised in-patient records. </w:t>
      </w:r>
      <w:r>
        <w:rPr>
          <w:rFonts w:ascii="Arial" w:hAnsi="Arial" w:cs="Arial"/>
          <w:color w:val="000000"/>
          <w:sz w:val="23"/>
          <w:szCs w:val="23"/>
        </w:rPr>
        <w:t>Participa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</w:rPr>
        <w:t>nts were p</w:t>
      </w:r>
      <w:r>
        <w:rPr>
          <w:rFonts w:ascii="Arial" w:hAnsi="Arial" w:cs="Arial"/>
          <w:color w:val="222222"/>
          <w:sz w:val="23"/>
          <w:szCs w:val="23"/>
        </w:rPr>
        <w:t>atients aged</w:t>
      </w:r>
      <w:r>
        <w:rPr>
          <w:rFonts w:ascii="Arial" w:hAnsi="Arial" w:cs="Arial"/>
          <w:color w:val="222222"/>
          <w:sz w:val="23"/>
          <w:szCs w:val="23"/>
          <w:u w:val="single"/>
        </w:rPr>
        <w:t xml:space="preserve"> &gt;</w:t>
      </w:r>
      <w:r>
        <w:rPr>
          <w:rFonts w:ascii="Arial" w:hAnsi="Arial" w:cs="Arial"/>
          <w:color w:val="222222"/>
          <w:sz w:val="23"/>
          <w:szCs w:val="23"/>
        </w:rPr>
        <w:t>75yrs who presented to a WDHB hospital emergency department (ED) and discharged from medical/surgical/geriatrics</w:t>
      </w:r>
      <w:r>
        <w:rPr>
          <w:rFonts w:ascii="Arial" w:eastAsia="Batang" w:hAnsi="Arial" w:cs="Arial"/>
          <w:color w:val="222222"/>
          <w:sz w:val="23"/>
          <w:szCs w:val="23"/>
          <w:lang w:eastAsia="ko-KR"/>
        </w:rPr>
        <w:t xml:space="preserve"> </w:t>
      </w:r>
      <w:r>
        <w:rPr>
          <w:rFonts w:ascii="Arial" w:hAnsi="Arial" w:cs="Arial"/>
          <w:color w:val="222222"/>
          <w:sz w:val="23"/>
          <w:szCs w:val="23"/>
        </w:rPr>
        <w:t>/orthopaedics wards in three 2-week periods (</w:t>
      </w:r>
      <w:r>
        <w:rPr>
          <w:rFonts w:ascii="Arial" w:hAnsi="Arial" w:cs="Arial"/>
          <w:sz w:val="23"/>
          <w:szCs w:val="23"/>
        </w:rPr>
        <w:t>S</w:t>
      </w:r>
      <w:r>
        <w:rPr>
          <w:rFonts w:ascii="Arial" w:hAnsi="Arial" w:cs="Arial"/>
          <w:sz w:val="23"/>
          <w:szCs w:val="23"/>
        </w:rPr>
        <w:t>eptember 2013, January 2014, May 2014</w:t>
      </w:r>
      <w:r>
        <w:rPr>
          <w:rFonts w:ascii="Arial" w:hAnsi="Arial" w:cs="Arial"/>
          <w:color w:val="222222"/>
          <w:sz w:val="23"/>
          <w:szCs w:val="23"/>
        </w:rPr>
        <w:t>). Proportional hazards models were used to assess associations of planning/attending PDSC with outcomes within 90-days of discharge.</w:t>
      </w:r>
    </w:p>
    <w:p w:rsidR="00AE0EF2" w:rsidRDefault="00007E03">
      <w:pPr>
        <w:pStyle w:val="Default"/>
        <w:spacing w:after="0" w:line="100" w:lineRule="atLeast"/>
      </w:pPr>
      <w:r>
        <w:rPr>
          <w:rFonts w:ascii="Arial" w:hAnsi="Arial" w:cs="Arial"/>
          <w:b/>
          <w:color w:val="000000"/>
          <w:sz w:val="23"/>
          <w:szCs w:val="23"/>
        </w:rPr>
        <w:t xml:space="preserve">Results </w:t>
      </w:r>
      <w:r>
        <w:rPr>
          <w:rFonts w:ascii="Arial" w:hAnsi="Arial" w:cs="Arial"/>
          <w:sz w:val="23"/>
          <w:szCs w:val="23"/>
        </w:rPr>
        <w:t>Clinical records for 1085 patients</w:t>
      </w:r>
      <w:r>
        <w:rPr>
          <w:rFonts w:ascii="Arial" w:eastAsia="Batang" w:hAnsi="Arial" w:cs="Arial"/>
          <w:sz w:val="23"/>
          <w:szCs w:val="23"/>
          <w:lang w:eastAsia="ko-KR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were searched. 965 patients were eligible </w:t>
      </w:r>
      <w:r>
        <w:rPr>
          <w:rFonts w:ascii="Arial" w:hAnsi="Arial" w:cs="Arial"/>
          <w:sz w:val="23"/>
          <w:szCs w:val="23"/>
        </w:rPr>
        <w:t>(43 inpatient deaths, 23 discharge letter unavailable, 54 second/further admissions). Of all discharge summaries, 42.8% indicated planned PDSC. Of those with planned PDSC, 30.5% had no appointment booked. 95% of surviving appointees attended PDSC. Patients</w:t>
      </w:r>
      <w:r>
        <w:rPr>
          <w:rFonts w:ascii="Arial" w:hAnsi="Arial" w:cs="Arial"/>
          <w:sz w:val="23"/>
          <w:szCs w:val="23"/>
        </w:rPr>
        <w:t xml:space="preserve"> with </w:t>
      </w:r>
      <w:r>
        <w:rPr>
          <w:rFonts w:ascii="Arial" w:hAnsi="Arial" w:cs="Arial"/>
          <w:bCs/>
          <w:sz w:val="23"/>
          <w:szCs w:val="23"/>
        </w:rPr>
        <w:t>planned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bCs/>
          <w:sz w:val="23"/>
          <w:szCs w:val="23"/>
        </w:rPr>
        <w:t>PDSC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were no </w:t>
      </w:r>
      <w:r>
        <w:rPr>
          <w:rFonts w:ascii="Arial" w:hAnsi="Arial" w:cs="Arial"/>
          <w:bCs/>
          <w:sz w:val="23"/>
          <w:szCs w:val="23"/>
        </w:rPr>
        <w:t>more likely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to attend ED, vs. those without planned PDSC (Hazard ratio[HR]=0.99, 95%CI=0.81, 1.22; p=0.94). However, patients </w:t>
      </w:r>
      <w:r>
        <w:rPr>
          <w:rFonts w:ascii="Arial" w:hAnsi="Arial" w:cs="Arial"/>
          <w:bCs/>
          <w:sz w:val="23"/>
          <w:szCs w:val="23"/>
        </w:rPr>
        <w:t>actually attending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PDSC were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bCs/>
          <w:sz w:val="23"/>
          <w:szCs w:val="23"/>
        </w:rPr>
        <w:t>less likely</w:t>
      </w:r>
      <w:r>
        <w:rPr>
          <w:rFonts w:ascii="Arial" w:hAnsi="Arial" w:cs="Arial"/>
          <w:sz w:val="23"/>
          <w:szCs w:val="23"/>
        </w:rPr>
        <w:t xml:space="preserve"> to attend ED vs. those not attending (HR=0.32, 95%CI=0.24, 0.4</w:t>
      </w:r>
      <w:r>
        <w:rPr>
          <w:rFonts w:ascii="Arial" w:hAnsi="Arial" w:cs="Arial"/>
          <w:sz w:val="23"/>
          <w:szCs w:val="23"/>
        </w:rPr>
        <w:t>1; p&lt;0.0001). Patients attending PDSC had lower mortality, vs. those not attending (HR=0.44, 95%CI=0.28, 0.70; p=0.0006).</w:t>
      </w:r>
      <w:r>
        <w:rPr>
          <w:rFonts w:ascii="Arial" w:eastAsia="Batang" w:hAnsi="Arial" w:cs="Arial"/>
          <w:sz w:val="23"/>
          <w:szCs w:val="23"/>
          <w:lang w:eastAsia="ko-KR"/>
        </w:rPr>
        <w:t xml:space="preserve"> T</w:t>
      </w:r>
      <w:r>
        <w:rPr>
          <w:rFonts w:ascii="Arial" w:hAnsi="Arial" w:cs="Arial"/>
          <w:sz w:val="23"/>
          <w:szCs w:val="23"/>
        </w:rPr>
        <w:t xml:space="preserve">hose attending PDSC were </w:t>
      </w:r>
      <w:r>
        <w:rPr>
          <w:rFonts w:ascii="Arial" w:hAnsi="Arial" w:cs="Arial"/>
          <w:bCs/>
          <w:sz w:val="23"/>
          <w:szCs w:val="23"/>
        </w:rPr>
        <w:t>less likely</w:t>
      </w:r>
      <w:r>
        <w:rPr>
          <w:rFonts w:ascii="Arial" w:hAnsi="Arial" w:cs="Arial"/>
          <w:sz w:val="23"/>
          <w:szCs w:val="23"/>
        </w:rPr>
        <w:t xml:space="preserve"> to enter hospital to residential aged care vs. those not attending (HR=0.26, 95%CI=0.11, 0.63; p=0.003).</w:t>
      </w:r>
    </w:p>
    <w:p w:rsidR="00AE0EF2" w:rsidRDefault="00007E03">
      <w:pPr>
        <w:pStyle w:val="Default"/>
        <w:spacing w:after="0" w:line="100" w:lineRule="atLeast"/>
      </w:pPr>
      <w:r>
        <w:rPr>
          <w:rFonts w:ascii="Arial" w:hAnsi="Arial" w:cs="Arial"/>
          <w:b/>
          <w:color w:val="000000"/>
          <w:sz w:val="23"/>
          <w:szCs w:val="23"/>
        </w:rPr>
        <w:t>Conclusions</w:t>
      </w:r>
      <w:r>
        <w:rPr>
          <w:rFonts w:ascii="Arial" w:eastAsia="Batang" w:hAnsi="Arial" w:cs="Arial"/>
          <w:b/>
          <w:color w:val="000000"/>
          <w:sz w:val="23"/>
          <w:szCs w:val="23"/>
          <w:lang w:eastAsia="ko-KR"/>
        </w:rPr>
        <w:t xml:space="preserve"> </w:t>
      </w:r>
      <w:r>
        <w:rPr>
          <w:rFonts w:ascii="Arial" w:hAnsi="Arial" w:cs="Arial"/>
          <w:sz w:val="23"/>
          <w:szCs w:val="23"/>
        </w:rPr>
        <w:t>Older people discharged after acute hospitalisation are not receiving appropriate PDSC as they are not booked follow-up appointments despi</w:t>
      </w:r>
      <w:r>
        <w:rPr>
          <w:rFonts w:ascii="Arial" w:hAnsi="Arial" w:cs="Arial"/>
          <w:sz w:val="23"/>
          <w:szCs w:val="23"/>
        </w:rPr>
        <w:t xml:space="preserve">te discharge recommendations. Inappropriate PDSC planning and booking are </w:t>
      </w:r>
      <w:r>
        <w:rPr>
          <w:rFonts w:ascii="Arial" w:hAnsi="Arial" w:cs="Arial"/>
          <w:i/>
          <w:sz w:val="23"/>
          <w:szCs w:val="23"/>
        </w:rPr>
        <w:t xml:space="preserve">strongly </w:t>
      </w:r>
      <w:r>
        <w:rPr>
          <w:rFonts w:ascii="Arial" w:hAnsi="Arial" w:cs="Arial"/>
          <w:sz w:val="23"/>
          <w:szCs w:val="23"/>
        </w:rPr>
        <w:t>associated with undesirable outcomes, although not necessarily causal. Further research is planned to assess whether these undesirable outcomes are preventable through bette</w:t>
      </w:r>
      <w:r>
        <w:rPr>
          <w:rFonts w:ascii="Arial" w:hAnsi="Arial" w:cs="Arial"/>
          <w:sz w:val="23"/>
          <w:szCs w:val="23"/>
        </w:rPr>
        <w:t>r discharge planning.</w:t>
      </w:r>
    </w:p>
    <w:sectPr w:rsidR="00AE0EF2" w:rsidSect="00AE0EF2">
      <w:pgSz w:w="11906" w:h="16838"/>
      <w:pgMar w:top="1440" w:right="1797" w:bottom="1440" w:left="1797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E0EF2"/>
    <w:rsid w:val="00007E03"/>
    <w:rsid w:val="00AE0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E0EF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val="en-NZ" w:eastAsia="ar-SA"/>
    </w:rPr>
  </w:style>
  <w:style w:type="paragraph" w:customStyle="1" w:styleId="Heading">
    <w:name w:val="Heading"/>
    <w:basedOn w:val="Default"/>
    <w:next w:val="Textbody"/>
    <w:rsid w:val="00AE0EF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Default"/>
    <w:rsid w:val="00AE0EF2"/>
    <w:pPr>
      <w:spacing w:after="120"/>
    </w:pPr>
  </w:style>
  <w:style w:type="paragraph" w:styleId="List">
    <w:name w:val="List"/>
    <w:basedOn w:val="Textbody"/>
    <w:rsid w:val="00AE0EF2"/>
  </w:style>
  <w:style w:type="paragraph" w:styleId="Caption">
    <w:name w:val="caption"/>
    <w:basedOn w:val="Default"/>
    <w:rsid w:val="00AE0EF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Default"/>
    <w:rsid w:val="00AE0EF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0</DocSecurity>
  <Lines>15</Lines>
  <Paragraphs>4</Paragraphs>
  <ScaleCrop>false</ScaleCrop>
  <Company>Devonport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Min-soo Kim</dc:creator>
  <cp:lastModifiedBy>Owner</cp:lastModifiedBy>
  <cp:revision>2</cp:revision>
  <dcterms:created xsi:type="dcterms:W3CDTF">2015-07-29T22:41:00Z</dcterms:created>
  <dcterms:modified xsi:type="dcterms:W3CDTF">2015-07-29T22:41:00Z</dcterms:modified>
</cp:coreProperties>
</file>