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72" w:rsidRPr="00373BE8" w:rsidRDefault="00D04D78">
      <w:pPr>
        <w:rPr>
          <w:rStyle w:val="Strong"/>
          <w:rFonts w:ascii="Times New Roman" w:hAnsi="Times New Roman" w:cs="Times New Roman"/>
        </w:rPr>
      </w:pPr>
      <w:r>
        <w:rPr>
          <w:rStyle w:val="Strong"/>
          <w:rFonts w:ascii="Times New Roman" w:hAnsi="Times New Roman" w:cs="Times New Roman"/>
        </w:rPr>
        <w:t xml:space="preserve">Falls, </w:t>
      </w:r>
      <w:r w:rsidRPr="00373BE8">
        <w:rPr>
          <w:rStyle w:val="Strong"/>
          <w:rFonts w:ascii="Times New Roman" w:hAnsi="Times New Roman" w:cs="Times New Roman"/>
        </w:rPr>
        <w:t xml:space="preserve">frailty </w:t>
      </w:r>
      <w:r>
        <w:rPr>
          <w:rStyle w:val="Strong"/>
          <w:rFonts w:ascii="Times New Roman" w:hAnsi="Times New Roman" w:cs="Times New Roman"/>
        </w:rPr>
        <w:t>and mortality of Māori and non-M</w:t>
      </w:r>
      <w:r w:rsidRPr="00373BE8">
        <w:rPr>
          <w:rStyle w:val="Strong"/>
          <w:rFonts w:ascii="Times New Roman" w:hAnsi="Times New Roman" w:cs="Times New Roman"/>
        </w:rPr>
        <w:t>āori in adv</w:t>
      </w:r>
      <w:r>
        <w:rPr>
          <w:rStyle w:val="Strong"/>
          <w:rFonts w:ascii="Times New Roman" w:hAnsi="Times New Roman" w:cs="Times New Roman"/>
        </w:rPr>
        <w:t xml:space="preserve">anced age; LiLACS NZ </w:t>
      </w:r>
    </w:p>
    <w:p w:rsidR="00586B72" w:rsidRPr="00373BE8" w:rsidRDefault="00586B72">
      <w:pPr>
        <w:rPr>
          <w:rStyle w:val="Strong"/>
          <w:rFonts w:ascii="Times New Roman" w:hAnsi="Times New Roman" w:cs="Times New Roman"/>
        </w:rPr>
      </w:pPr>
      <w:r w:rsidRPr="00373BE8">
        <w:rPr>
          <w:rStyle w:val="Strong"/>
          <w:rFonts w:ascii="Times New Roman" w:hAnsi="Times New Roman" w:cs="Times New Roman"/>
        </w:rPr>
        <w:t>Kerse N</w:t>
      </w:r>
      <w:r w:rsidRPr="00373BE8">
        <w:rPr>
          <w:rStyle w:val="Strong"/>
          <w:rFonts w:ascii="Times New Roman" w:hAnsi="Times New Roman" w:cs="Times New Roman"/>
          <w:vertAlign w:val="superscript"/>
        </w:rPr>
        <w:t>1</w:t>
      </w:r>
      <w:r w:rsidRPr="00373BE8">
        <w:rPr>
          <w:rStyle w:val="Strong"/>
          <w:rFonts w:ascii="Times New Roman" w:hAnsi="Times New Roman" w:cs="Times New Roman"/>
        </w:rPr>
        <w:t>, Teh R</w:t>
      </w:r>
      <w:r w:rsidRPr="00373BE8">
        <w:rPr>
          <w:rStyle w:val="Strong"/>
          <w:rFonts w:ascii="Times New Roman" w:hAnsi="Times New Roman" w:cs="Times New Roman"/>
          <w:vertAlign w:val="superscript"/>
        </w:rPr>
        <w:t>1</w:t>
      </w:r>
      <w:r w:rsidRPr="00373BE8">
        <w:rPr>
          <w:rStyle w:val="Strong"/>
          <w:rFonts w:ascii="Times New Roman" w:hAnsi="Times New Roman" w:cs="Times New Roman"/>
        </w:rPr>
        <w:t>, Moyes</w:t>
      </w:r>
      <w:r w:rsidRPr="00373BE8">
        <w:rPr>
          <w:rStyle w:val="Strong"/>
          <w:rFonts w:ascii="Times New Roman" w:hAnsi="Times New Roman" w:cs="Times New Roman"/>
          <w:vertAlign w:val="superscript"/>
        </w:rPr>
        <w:t>1</w:t>
      </w:r>
      <w:r w:rsidRPr="00373BE8">
        <w:rPr>
          <w:rStyle w:val="Strong"/>
          <w:rFonts w:ascii="Times New Roman" w:hAnsi="Times New Roman" w:cs="Times New Roman"/>
        </w:rPr>
        <w:t>, Dyall L</w:t>
      </w:r>
      <w:r w:rsidRPr="00373BE8">
        <w:rPr>
          <w:rStyle w:val="Strong"/>
          <w:rFonts w:ascii="Times New Roman" w:hAnsi="Times New Roman" w:cs="Times New Roman"/>
          <w:vertAlign w:val="superscript"/>
        </w:rPr>
        <w:t>1</w:t>
      </w:r>
      <w:r w:rsidRPr="00373BE8">
        <w:rPr>
          <w:rStyle w:val="Strong"/>
          <w:rFonts w:ascii="Times New Roman" w:hAnsi="Times New Roman" w:cs="Times New Roman"/>
        </w:rPr>
        <w:t>, Kepa M</w:t>
      </w:r>
      <w:r w:rsidRPr="00373BE8">
        <w:rPr>
          <w:rStyle w:val="Strong"/>
          <w:rFonts w:ascii="Times New Roman" w:hAnsi="Times New Roman" w:cs="Times New Roman"/>
          <w:vertAlign w:val="superscript"/>
        </w:rPr>
        <w:t>1</w:t>
      </w:r>
      <w:r w:rsidRPr="00373BE8">
        <w:rPr>
          <w:rStyle w:val="Strong"/>
          <w:rFonts w:ascii="Times New Roman" w:hAnsi="Times New Roman" w:cs="Times New Roman"/>
        </w:rPr>
        <w:t>, Wilkinson T</w:t>
      </w:r>
      <w:r w:rsidRPr="00373BE8">
        <w:rPr>
          <w:rStyle w:val="Strong"/>
          <w:rFonts w:ascii="Times New Roman" w:hAnsi="Times New Roman" w:cs="Times New Roman"/>
          <w:vertAlign w:val="superscript"/>
        </w:rPr>
        <w:t>2</w:t>
      </w:r>
      <w:r w:rsidRPr="00373BE8">
        <w:rPr>
          <w:rStyle w:val="Strong"/>
          <w:rFonts w:ascii="Times New Roman" w:hAnsi="Times New Roman" w:cs="Times New Roman"/>
        </w:rPr>
        <w:t>, Connolly M</w:t>
      </w:r>
      <w:r w:rsidRPr="00373BE8">
        <w:rPr>
          <w:rStyle w:val="Strong"/>
          <w:rFonts w:ascii="Times New Roman" w:hAnsi="Times New Roman" w:cs="Times New Roman"/>
          <w:vertAlign w:val="superscript"/>
        </w:rPr>
        <w:t>3</w:t>
      </w:r>
      <w:r w:rsidRPr="00373BE8">
        <w:rPr>
          <w:rStyle w:val="Strong"/>
          <w:rFonts w:ascii="Times New Roman" w:hAnsi="Times New Roman" w:cs="Times New Roman"/>
        </w:rPr>
        <w:t xml:space="preserve">. </w:t>
      </w:r>
    </w:p>
    <w:p w:rsidR="00586B72" w:rsidRPr="00373BE8" w:rsidRDefault="00586B72" w:rsidP="00586B72">
      <w:pPr>
        <w:pStyle w:val="ListParagraph"/>
        <w:numPr>
          <w:ilvl w:val="0"/>
          <w:numId w:val="1"/>
        </w:numPr>
        <w:rPr>
          <w:rStyle w:val="Strong"/>
          <w:rFonts w:ascii="Times New Roman" w:hAnsi="Times New Roman" w:cs="Times New Roman"/>
        </w:rPr>
      </w:pPr>
      <w:r w:rsidRPr="00373BE8">
        <w:rPr>
          <w:rStyle w:val="Strong"/>
          <w:rFonts w:ascii="Times New Roman" w:hAnsi="Times New Roman" w:cs="Times New Roman"/>
        </w:rPr>
        <w:t>Department of General Practice and Primary Health Care, School of Population Health, University of Auckland, Auckland, New Zealand</w:t>
      </w:r>
    </w:p>
    <w:p w:rsidR="00586B72" w:rsidRPr="00373BE8" w:rsidRDefault="00586B72" w:rsidP="00586B72">
      <w:pPr>
        <w:pStyle w:val="ListParagraph"/>
        <w:numPr>
          <w:ilvl w:val="0"/>
          <w:numId w:val="1"/>
        </w:numPr>
        <w:rPr>
          <w:rStyle w:val="Strong"/>
          <w:rFonts w:ascii="Times New Roman" w:hAnsi="Times New Roman" w:cs="Times New Roman"/>
        </w:rPr>
      </w:pPr>
      <w:r w:rsidRPr="00373BE8">
        <w:rPr>
          <w:rStyle w:val="Strong"/>
          <w:rFonts w:ascii="Times New Roman" w:hAnsi="Times New Roman" w:cs="Times New Roman"/>
        </w:rPr>
        <w:t>Older People’s Health, University of Otago, Christchurch, New Zealand</w:t>
      </w:r>
    </w:p>
    <w:p w:rsidR="00586B72" w:rsidRPr="00373BE8" w:rsidRDefault="00586B72" w:rsidP="00586B72">
      <w:pPr>
        <w:pStyle w:val="ListParagraph"/>
        <w:numPr>
          <w:ilvl w:val="0"/>
          <w:numId w:val="1"/>
        </w:numPr>
        <w:rPr>
          <w:rStyle w:val="Strong"/>
          <w:rFonts w:ascii="Times New Roman" w:hAnsi="Times New Roman" w:cs="Times New Roman"/>
        </w:rPr>
      </w:pPr>
      <w:r w:rsidRPr="00373BE8">
        <w:rPr>
          <w:rStyle w:val="Strong"/>
          <w:rFonts w:ascii="Times New Roman" w:hAnsi="Times New Roman" w:cs="Times New Roman"/>
        </w:rPr>
        <w:t xml:space="preserve">Freemason’s Department of Geriatric Medicine, University of Auckland, Auckland, New Zealand. </w:t>
      </w:r>
    </w:p>
    <w:p w:rsidR="00586B72" w:rsidRPr="00373BE8" w:rsidRDefault="00586B72" w:rsidP="00586B72">
      <w:pPr>
        <w:ind w:left="360"/>
        <w:rPr>
          <w:rStyle w:val="Strong"/>
          <w:rFonts w:ascii="Times New Roman" w:hAnsi="Times New Roman" w:cs="Times New Roman"/>
        </w:rPr>
      </w:pPr>
      <w:r w:rsidRPr="00373BE8">
        <w:rPr>
          <w:rStyle w:val="Strong"/>
          <w:rFonts w:ascii="Times New Roman" w:hAnsi="Times New Roman" w:cs="Times New Roman"/>
        </w:rPr>
        <w:t xml:space="preserve">The study was supported by the Health research Council of New Zealand, Nga Pae o </w:t>
      </w:r>
      <w:proofErr w:type="gramStart"/>
      <w:r w:rsidRPr="00373BE8">
        <w:rPr>
          <w:rStyle w:val="Strong"/>
          <w:rFonts w:ascii="Times New Roman" w:hAnsi="Times New Roman" w:cs="Times New Roman"/>
        </w:rPr>
        <w:t>te</w:t>
      </w:r>
      <w:proofErr w:type="gramEnd"/>
      <w:r w:rsidRPr="00373BE8">
        <w:rPr>
          <w:rStyle w:val="Strong"/>
          <w:rFonts w:ascii="Times New Roman" w:hAnsi="Times New Roman" w:cs="Times New Roman"/>
        </w:rPr>
        <w:t xml:space="preserve"> Maramatanga, Ministry of Health, New Zealand. </w:t>
      </w:r>
    </w:p>
    <w:p w:rsidR="00586B72" w:rsidRPr="00373BE8" w:rsidRDefault="00586B72">
      <w:pPr>
        <w:rPr>
          <w:rStyle w:val="Strong"/>
          <w:rFonts w:ascii="Times New Roman" w:hAnsi="Times New Roman" w:cs="Times New Roman"/>
          <w:b w:val="0"/>
        </w:rPr>
      </w:pPr>
      <w:r w:rsidRPr="00373BE8">
        <w:rPr>
          <w:rStyle w:val="Strong"/>
          <w:rFonts w:ascii="Times New Roman" w:hAnsi="Times New Roman" w:cs="Times New Roman"/>
          <w:b w:val="0"/>
        </w:rPr>
        <w:t xml:space="preserve">Background: </w:t>
      </w:r>
      <w:r w:rsidR="009B1BE2">
        <w:rPr>
          <w:rStyle w:val="Strong"/>
          <w:rFonts w:ascii="Times New Roman" w:hAnsi="Times New Roman" w:cs="Times New Roman"/>
          <w:b w:val="0"/>
        </w:rPr>
        <w:t xml:space="preserve">Falls </w:t>
      </w:r>
      <w:r w:rsidR="00F30468">
        <w:rPr>
          <w:rStyle w:val="Strong"/>
          <w:rFonts w:ascii="Times New Roman" w:hAnsi="Times New Roman" w:cs="Times New Roman"/>
          <w:b w:val="0"/>
        </w:rPr>
        <w:t>and frailty are</w:t>
      </w:r>
      <w:r w:rsidR="009B1BE2">
        <w:rPr>
          <w:rStyle w:val="Strong"/>
          <w:rFonts w:ascii="Times New Roman" w:hAnsi="Times New Roman" w:cs="Times New Roman"/>
          <w:b w:val="0"/>
        </w:rPr>
        <w:t xml:space="preserve"> closely related</w:t>
      </w:r>
      <w:r w:rsidR="00F30468">
        <w:rPr>
          <w:rStyle w:val="Strong"/>
          <w:rFonts w:ascii="Times New Roman" w:hAnsi="Times New Roman" w:cs="Times New Roman"/>
          <w:b w:val="0"/>
        </w:rPr>
        <w:t xml:space="preserve">. </w:t>
      </w:r>
      <w:r w:rsidR="002160AD">
        <w:rPr>
          <w:rStyle w:val="Strong"/>
          <w:rFonts w:ascii="Times New Roman" w:hAnsi="Times New Roman" w:cs="Times New Roman"/>
          <w:b w:val="0"/>
        </w:rPr>
        <w:t>The u</w:t>
      </w:r>
      <w:r w:rsidRPr="00373BE8">
        <w:rPr>
          <w:rStyle w:val="Strong"/>
          <w:rFonts w:ascii="Times New Roman" w:hAnsi="Times New Roman" w:cs="Times New Roman"/>
          <w:b w:val="0"/>
        </w:rPr>
        <w:t xml:space="preserve">tility of </w:t>
      </w:r>
      <w:r w:rsidR="002160AD">
        <w:rPr>
          <w:rStyle w:val="Strong"/>
          <w:rFonts w:ascii="Times New Roman" w:hAnsi="Times New Roman" w:cs="Times New Roman"/>
          <w:b w:val="0"/>
        </w:rPr>
        <w:t xml:space="preserve">the </w:t>
      </w:r>
      <w:r w:rsidRPr="00373BE8">
        <w:rPr>
          <w:rStyle w:val="Strong"/>
          <w:rFonts w:ascii="Times New Roman" w:hAnsi="Times New Roman" w:cs="Times New Roman"/>
          <w:b w:val="0"/>
        </w:rPr>
        <w:t xml:space="preserve">frailty </w:t>
      </w:r>
      <w:r w:rsidR="002160AD">
        <w:rPr>
          <w:rStyle w:val="Strong"/>
          <w:rFonts w:ascii="Times New Roman" w:hAnsi="Times New Roman" w:cs="Times New Roman"/>
          <w:b w:val="0"/>
        </w:rPr>
        <w:t xml:space="preserve">concept </w:t>
      </w:r>
      <w:r w:rsidRPr="00373BE8">
        <w:rPr>
          <w:rStyle w:val="Strong"/>
          <w:rFonts w:ascii="Times New Roman" w:hAnsi="Times New Roman" w:cs="Times New Roman"/>
          <w:b w:val="0"/>
        </w:rPr>
        <w:t xml:space="preserve">in indigenous people and in very old people is not known. </w:t>
      </w:r>
      <w:r w:rsidR="00C25731">
        <w:rPr>
          <w:rStyle w:val="Strong"/>
          <w:rFonts w:ascii="Times New Roman" w:hAnsi="Times New Roman" w:cs="Times New Roman"/>
          <w:b w:val="0"/>
        </w:rPr>
        <w:t xml:space="preserve">Falls and frailty may predict mortality in different ways. </w:t>
      </w:r>
    </w:p>
    <w:p w:rsidR="00586B72" w:rsidRPr="00373BE8" w:rsidRDefault="00586B72">
      <w:pPr>
        <w:rPr>
          <w:rStyle w:val="Strong"/>
          <w:rFonts w:ascii="Times New Roman" w:hAnsi="Times New Roman" w:cs="Times New Roman"/>
          <w:b w:val="0"/>
        </w:rPr>
      </w:pPr>
      <w:r w:rsidRPr="00373BE8">
        <w:rPr>
          <w:rStyle w:val="Strong"/>
          <w:rFonts w:ascii="Times New Roman" w:hAnsi="Times New Roman" w:cs="Times New Roman"/>
          <w:b w:val="0"/>
        </w:rPr>
        <w:t xml:space="preserve">Methods: </w:t>
      </w:r>
      <w:r w:rsidR="00F30468">
        <w:rPr>
          <w:rStyle w:val="Strong"/>
          <w:rFonts w:ascii="Times New Roman" w:hAnsi="Times New Roman" w:cs="Times New Roman"/>
          <w:b w:val="0"/>
        </w:rPr>
        <w:t>Data from a</w:t>
      </w:r>
      <w:r w:rsidRPr="00373BE8">
        <w:rPr>
          <w:rStyle w:val="Strong"/>
          <w:rFonts w:ascii="Times New Roman" w:hAnsi="Times New Roman" w:cs="Times New Roman"/>
          <w:b w:val="0"/>
        </w:rPr>
        <w:t xml:space="preserve"> cohort study of Māori 80-90 years and non-Māori 85 years at inception</w:t>
      </w:r>
      <w:r w:rsidR="00373BE8" w:rsidRPr="00373BE8">
        <w:rPr>
          <w:rStyle w:val="Strong"/>
          <w:rFonts w:ascii="Times New Roman" w:hAnsi="Times New Roman" w:cs="Times New Roman"/>
          <w:b w:val="0"/>
        </w:rPr>
        <w:t xml:space="preserve"> </w:t>
      </w:r>
      <w:r w:rsidR="0074562A">
        <w:rPr>
          <w:rStyle w:val="Strong"/>
          <w:rFonts w:ascii="Times New Roman" w:hAnsi="Times New Roman" w:cs="Times New Roman"/>
          <w:b w:val="0"/>
        </w:rPr>
        <w:t xml:space="preserve">in 2010 </w:t>
      </w:r>
      <w:r w:rsidR="00C25731">
        <w:rPr>
          <w:rStyle w:val="Strong"/>
          <w:rFonts w:ascii="Times New Roman" w:hAnsi="Times New Roman" w:cs="Times New Roman"/>
          <w:b w:val="0"/>
        </w:rPr>
        <w:t xml:space="preserve">were used to </w:t>
      </w:r>
      <w:r w:rsidR="00F30468">
        <w:rPr>
          <w:rStyle w:val="Strong"/>
          <w:rFonts w:ascii="Times New Roman" w:hAnsi="Times New Roman" w:cs="Times New Roman"/>
          <w:b w:val="0"/>
        </w:rPr>
        <w:t xml:space="preserve">establish </w:t>
      </w:r>
      <w:r w:rsidR="00D2074C">
        <w:rPr>
          <w:rStyle w:val="Strong"/>
          <w:rFonts w:ascii="Times New Roman" w:hAnsi="Times New Roman" w:cs="Times New Roman"/>
          <w:b w:val="0"/>
        </w:rPr>
        <w:t>3 year</w:t>
      </w:r>
      <w:r w:rsidR="00F30468">
        <w:rPr>
          <w:rStyle w:val="Strong"/>
          <w:rFonts w:ascii="Times New Roman" w:hAnsi="Times New Roman" w:cs="Times New Roman"/>
          <w:b w:val="0"/>
        </w:rPr>
        <w:t xml:space="preserve"> </w:t>
      </w:r>
      <w:r w:rsidR="00D2074C">
        <w:rPr>
          <w:rStyle w:val="Strong"/>
          <w:rFonts w:ascii="Times New Roman" w:hAnsi="Times New Roman" w:cs="Times New Roman"/>
          <w:b w:val="0"/>
        </w:rPr>
        <w:t xml:space="preserve">mortality related to falls and frailty. </w:t>
      </w:r>
      <w:r w:rsidR="00C25731">
        <w:rPr>
          <w:rStyle w:val="Strong"/>
          <w:rFonts w:ascii="Times New Roman" w:hAnsi="Times New Roman" w:cs="Times New Roman"/>
          <w:b w:val="0"/>
        </w:rPr>
        <w:t xml:space="preserve">Falls were ascertained by self report. </w:t>
      </w:r>
      <w:r w:rsidR="00373BE8">
        <w:rPr>
          <w:rStyle w:val="Strong"/>
          <w:rFonts w:ascii="Times New Roman" w:hAnsi="Times New Roman" w:cs="Times New Roman"/>
          <w:b w:val="0"/>
        </w:rPr>
        <w:t xml:space="preserve">Rockwood </w:t>
      </w:r>
      <w:r w:rsidR="00D2074C">
        <w:rPr>
          <w:rStyle w:val="Strong"/>
          <w:rFonts w:ascii="Times New Roman" w:hAnsi="Times New Roman" w:cs="Times New Roman"/>
          <w:b w:val="0"/>
        </w:rPr>
        <w:t xml:space="preserve">frailty scale </w:t>
      </w:r>
      <w:r w:rsidR="00373BE8">
        <w:rPr>
          <w:rStyle w:val="Strong"/>
          <w:rFonts w:ascii="Times New Roman" w:hAnsi="Times New Roman" w:cs="Times New Roman"/>
          <w:b w:val="0"/>
        </w:rPr>
        <w:t xml:space="preserve">was constructed from 34 deficits on the complete sample, 410 Māori and </w:t>
      </w:r>
      <w:r w:rsidR="00F71CA5">
        <w:rPr>
          <w:rStyle w:val="Strong"/>
          <w:rFonts w:ascii="Times New Roman" w:hAnsi="Times New Roman" w:cs="Times New Roman"/>
          <w:b w:val="0"/>
        </w:rPr>
        <w:t>512 non-Maori</w:t>
      </w:r>
      <w:r w:rsidR="00AA4F65">
        <w:rPr>
          <w:rStyle w:val="Strong"/>
          <w:rFonts w:ascii="Times New Roman" w:hAnsi="Times New Roman" w:cs="Times New Roman"/>
          <w:b w:val="0"/>
        </w:rPr>
        <w:t>.</w:t>
      </w:r>
      <w:r w:rsidR="00F71CA5">
        <w:rPr>
          <w:rStyle w:val="Strong"/>
          <w:rFonts w:ascii="Times New Roman" w:hAnsi="Times New Roman" w:cs="Times New Roman"/>
          <w:b w:val="0"/>
        </w:rPr>
        <w:t xml:space="preserve"> </w:t>
      </w:r>
      <w:r w:rsidR="00AA4F65">
        <w:rPr>
          <w:rStyle w:val="Strong"/>
          <w:rFonts w:ascii="Times New Roman" w:hAnsi="Times New Roman" w:cs="Times New Roman"/>
          <w:b w:val="0"/>
        </w:rPr>
        <w:t>T</w:t>
      </w:r>
      <w:r w:rsidR="00373BE8">
        <w:rPr>
          <w:rStyle w:val="Strong"/>
          <w:rFonts w:ascii="Times New Roman" w:hAnsi="Times New Roman" w:cs="Times New Roman"/>
          <w:b w:val="0"/>
        </w:rPr>
        <w:t xml:space="preserve">he Fried was constructed </w:t>
      </w:r>
      <w:r w:rsidR="00641B25">
        <w:rPr>
          <w:rStyle w:val="Strong"/>
          <w:rFonts w:ascii="Times New Roman" w:hAnsi="Times New Roman" w:cs="Times New Roman"/>
          <w:b w:val="0"/>
        </w:rPr>
        <w:t xml:space="preserve">from </w:t>
      </w:r>
      <w:r w:rsidR="00421543">
        <w:rPr>
          <w:rStyle w:val="Strong"/>
          <w:rFonts w:ascii="Times New Roman" w:hAnsi="Times New Roman" w:cs="Times New Roman"/>
          <w:b w:val="0"/>
        </w:rPr>
        <w:t xml:space="preserve">community dwellers </w:t>
      </w:r>
      <w:r w:rsidR="00641B25">
        <w:rPr>
          <w:rStyle w:val="Strong"/>
          <w:rFonts w:ascii="Times New Roman" w:hAnsi="Times New Roman" w:cs="Times New Roman"/>
          <w:b w:val="0"/>
        </w:rPr>
        <w:t>that comp</w:t>
      </w:r>
      <w:r w:rsidR="00421543">
        <w:rPr>
          <w:rStyle w:val="Strong"/>
          <w:rFonts w:ascii="Times New Roman" w:hAnsi="Times New Roman" w:cs="Times New Roman"/>
          <w:b w:val="0"/>
        </w:rPr>
        <w:t>l</w:t>
      </w:r>
      <w:r w:rsidR="00641B25">
        <w:rPr>
          <w:rStyle w:val="Strong"/>
          <w:rFonts w:ascii="Times New Roman" w:hAnsi="Times New Roman" w:cs="Times New Roman"/>
          <w:b w:val="0"/>
        </w:rPr>
        <w:t>eted the full interview (</w:t>
      </w:r>
      <w:r w:rsidR="00E95640">
        <w:rPr>
          <w:rStyle w:val="Strong"/>
          <w:rFonts w:ascii="Times New Roman" w:hAnsi="Times New Roman" w:cs="Times New Roman"/>
          <w:b w:val="0"/>
        </w:rPr>
        <w:t>206 Māori and 344 non-Māori) using gait speed;</w:t>
      </w:r>
      <w:r w:rsidR="00373BE8">
        <w:rPr>
          <w:rStyle w:val="Strong"/>
          <w:rFonts w:ascii="Times New Roman" w:hAnsi="Times New Roman" w:cs="Times New Roman"/>
          <w:b w:val="0"/>
        </w:rPr>
        <w:t xml:space="preserve"> </w:t>
      </w:r>
      <w:r w:rsidR="00F71CA5">
        <w:rPr>
          <w:rStyle w:val="Strong"/>
          <w:rFonts w:ascii="Times New Roman" w:hAnsi="Times New Roman" w:cs="Times New Roman"/>
          <w:b w:val="0"/>
        </w:rPr>
        <w:t>PASE activity</w:t>
      </w:r>
      <w:r w:rsidR="00373BE8">
        <w:rPr>
          <w:rStyle w:val="Strong"/>
          <w:rFonts w:ascii="Times New Roman" w:hAnsi="Times New Roman" w:cs="Times New Roman"/>
          <w:b w:val="0"/>
        </w:rPr>
        <w:t xml:space="preserve"> score</w:t>
      </w:r>
      <w:r w:rsidR="00E95640">
        <w:rPr>
          <w:rStyle w:val="Strong"/>
          <w:rFonts w:ascii="Times New Roman" w:hAnsi="Times New Roman" w:cs="Times New Roman"/>
          <w:b w:val="0"/>
        </w:rPr>
        <w:t>;</w:t>
      </w:r>
      <w:r w:rsidR="00373BE8">
        <w:rPr>
          <w:rStyle w:val="Strong"/>
          <w:rFonts w:ascii="Times New Roman" w:hAnsi="Times New Roman" w:cs="Times New Roman"/>
          <w:b w:val="0"/>
        </w:rPr>
        <w:t xml:space="preserve"> grip strength</w:t>
      </w:r>
      <w:r w:rsidR="00E95640">
        <w:rPr>
          <w:rStyle w:val="Strong"/>
          <w:rFonts w:ascii="Times New Roman" w:hAnsi="Times New Roman" w:cs="Times New Roman"/>
          <w:b w:val="0"/>
        </w:rPr>
        <w:t>;</w:t>
      </w:r>
      <w:r w:rsidR="00373BE8">
        <w:rPr>
          <w:rStyle w:val="Strong"/>
          <w:rFonts w:ascii="Times New Roman" w:hAnsi="Times New Roman" w:cs="Times New Roman"/>
          <w:b w:val="0"/>
        </w:rPr>
        <w:t xml:space="preserve"> </w:t>
      </w:r>
      <w:r w:rsidR="00421543">
        <w:rPr>
          <w:rStyle w:val="Strong"/>
          <w:rFonts w:ascii="Times New Roman" w:hAnsi="Times New Roman" w:cs="Times New Roman"/>
          <w:b w:val="0"/>
        </w:rPr>
        <w:t>and</w:t>
      </w:r>
      <w:r w:rsidR="00373BE8">
        <w:rPr>
          <w:rStyle w:val="Strong"/>
          <w:rFonts w:ascii="Times New Roman" w:hAnsi="Times New Roman" w:cs="Times New Roman"/>
          <w:b w:val="0"/>
        </w:rPr>
        <w:t xml:space="preserve"> poor energy, </w:t>
      </w:r>
      <w:r w:rsidR="00421543">
        <w:rPr>
          <w:rStyle w:val="Strong"/>
          <w:rFonts w:ascii="Times New Roman" w:hAnsi="Times New Roman" w:cs="Times New Roman"/>
          <w:b w:val="0"/>
        </w:rPr>
        <w:t>and weight loss</w:t>
      </w:r>
      <w:r w:rsidR="00373BE8">
        <w:rPr>
          <w:rStyle w:val="Strong"/>
          <w:rFonts w:ascii="Times New Roman" w:hAnsi="Times New Roman" w:cs="Times New Roman"/>
          <w:b w:val="0"/>
        </w:rPr>
        <w:t xml:space="preserve">. </w:t>
      </w:r>
      <w:r w:rsidR="00641B25">
        <w:rPr>
          <w:rStyle w:val="Strong"/>
          <w:rFonts w:ascii="Times New Roman" w:hAnsi="Times New Roman" w:cs="Times New Roman"/>
          <w:b w:val="0"/>
        </w:rPr>
        <w:t xml:space="preserve">Mortality was from National mortality data. </w:t>
      </w:r>
      <w:r w:rsidR="00D2074C">
        <w:rPr>
          <w:rStyle w:val="Strong"/>
          <w:rFonts w:ascii="Times New Roman" w:hAnsi="Times New Roman" w:cs="Times New Roman"/>
          <w:b w:val="0"/>
        </w:rPr>
        <w:t>P</w:t>
      </w:r>
      <w:r w:rsidR="00C43FC3">
        <w:rPr>
          <w:rStyle w:val="Strong"/>
          <w:rFonts w:ascii="Times New Roman" w:hAnsi="Times New Roman" w:cs="Times New Roman"/>
          <w:b w:val="0"/>
        </w:rPr>
        <w:t xml:space="preserve">rediction of mortality </w:t>
      </w:r>
      <w:r w:rsidR="00D2074C">
        <w:rPr>
          <w:rStyle w:val="Strong"/>
          <w:rFonts w:ascii="Times New Roman" w:hAnsi="Times New Roman" w:cs="Times New Roman"/>
          <w:b w:val="0"/>
        </w:rPr>
        <w:t xml:space="preserve">from falls, </w:t>
      </w:r>
      <w:r w:rsidR="00C22F85">
        <w:rPr>
          <w:rStyle w:val="Strong"/>
          <w:rFonts w:ascii="Times New Roman" w:hAnsi="Times New Roman" w:cs="Times New Roman"/>
          <w:b w:val="0"/>
        </w:rPr>
        <w:t xml:space="preserve">Rockwood and Fried </w:t>
      </w:r>
      <w:r w:rsidR="00D2074C">
        <w:rPr>
          <w:rStyle w:val="Strong"/>
          <w:rFonts w:ascii="Times New Roman" w:hAnsi="Times New Roman" w:cs="Times New Roman"/>
          <w:b w:val="0"/>
        </w:rPr>
        <w:t xml:space="preserve">were </w:t>
      </w:r>
      <w:r w:rsidR="00C22F85">
        <w:rPr>
          <w:rStyle w:val="Strong"/>
          <w:rFonts w:ascii="Times New Roman" w:hAnsi="Times New Roman" w:cs="Times New Roman"/>
          <w:b w:val="0"/>
        </w:rPr>
        <w:t>compared using regression techniques</w:t>
      </w:r>
      <w:r w:rsidR="008015E6">
        <w:rPr>
          <w:rStyle w:val="Strong"/>
          <w:rFonts w:ascii="Times New Roman" w:hAnsi="Times New Roman" w:cs="Times New Roman"/>
          <w:b w:val="0"/>
        </w:rPr>
        <w:t xml:space="preserve"> adjusting for d</w:t>
      </w:r>
      <w:r w:rsidR="00C22F85">
        <w:rPr>
          <w:rStyle w:val="Strong"/>
          <w:rFonts w:ascii="Times New Roman" w:hAnsi="Times New Roman" w:cs="Times New Roman"/>
          <w:b w:val="0"/>
        </w:rPr>
        <w:t xml:space="preserve">eprivation, education </w:t>
      </w:r>
      <w:r w:rsidR="00B0211C">
        <w:rPr>
          <w:rStyle w:val="Strong"/>
          <w:rFonts w:ascii="Times New Roman" w:hAnsi="Times New Roman" w:cs="Times New Roman"/>
          <w:b w:val="0"/>
        </w:rPr>
        <w:t>and age</w:t>
      </w:r>
      <w:r w:rsidR="00C22F85">
        <w:rPr>
          <w:rStyle w:val="Strong"/>
          <w:rFonts w:ascii="Times New Roman" w:hAnsi="Times New Roman" w:cs="Times New Roman"/>
          <w:b w:val="0"/>
        </w:rPr>
        <w:t xml:space="preserve">. </w:t>
      </w:r>
    </w:p>
    <w:p w:rsidR="002160AD" w:rsidRDefault="00586B72">
      <w:pPr>
        <w:rPr>
          <w:rStyle w:val="Strong"/>
          <w:rFonts w:ascii="Times New Roman" w:hAnsi="Times New Roman" w:cs="Times New Roman"/>
          <w:b w:val="0"/>
        </w:rPr>
      </w:pPr>
      <w:r w:rsidRPr="00373BE8">
        <w:rPr>
          <w:rStyle w:val="Strong"/>
          <w:rFonts w:ascii="Times New Roman" w:hAnsi="Times New Roman" w:cs="Times New Roman"/>
        </w:rPr>
        <w:t xml:space="preserve">Results: </w:t>
      </w:r>
      <w:r w:rsidR="000868AA" w:rsidRPr="000868AA">
        <w:rPr>
          <w:rStyle w:val="Strong"/>
          <w:rFonts w:ascii="Times New Roman" w:hAnsi="Times New Roman" w:cs="Times New Roman"/>
          <w:b w:val="0"/>
        </w:rPr>
        <w:t>Over three year</w:t>
      </w:r>
      <w:r w:rsidR="006504B3">
        <w:rPr>
          <w:rStyle w:val="Strong"/>
          <w:rFonts w:ascii="Times New Roman" w:hAnsi="Times New Roman" w:cs="Times New Roman"/>
          <w:b w:val="0"/>
        </w:rPr>
        <w:t>s 10</w:t>
      </w:r>
      <w:r w:rsidR="000D00B8">
        <w:rPr>
          <w:rStyle w:val="Strong"/>
          <w:rFonts w:ascii="Times New Roman" w:hAnsi="Times New Roman" w:cs="Times New Roman"/>
          <w:b w:val="0"/>
        </w:rPr>
        <w:t xml:space="preserve">0 </w:t>
      </w:r>
      <w:proofErr w:type="gramStart"/>
      <w:r w:rsidR="000D00B8">
        <w:rPr>
          <w:rStyle w:val="Strong"/>
          <w:rFonts w:ascii="Times New Roman" w:hAnsi="Times New Roman" w:cs="Times New Roman"/>
          <w:b w:val="0"/>
        </w:rPr>
        <w:t>Māori(</w:t>
      </w:r>
      <w:proofErr w:type="gramEnd"/>
      <w:r w:rsidR="000D00B8">
        <w:rPr>
          <w:rStyle w:val="Strong"/>
          <w:rFonts w:ascii="Times New Roman" w:hAnsi="Times New Roman" w:cs="Times New Roman"/>
          <w:b w:val="0"/>
        </w:rPr>
        <w:t>24%) and 109 non-Māori</w:t>
      </w:r>
      <w:r w:rsidR="006504B3">
        <w:rPr>
          <w:rStyle w:val="Strong"/>
          <w:rFonts w:ascii="Times New Roman" w:hAnsi="Times New Roman" w:cs="Times New Roman"/>
          <w:b w:val="0"/>
        </w:rPr>
        <w:t xml:space="preserve">(21%) died(ns). </w:t>
      </w:r>
      <w:r w:rsidR="007E060B">
        <w:rPr>
          <w:rStyle w:val="Strong"/>
          <w:rFonts w:ascii="Times New Roman" w:hAnsi="Times New Roman" w:cs="Times New Roman"/>
          <w:b w:val="0"/>
        </w:rPr>
        <w:t xml:space="preserve">43% of non-Māori fell in </w:t>
      </w:r>
      <w:r w:rsidR="00F10A18">
        <w:rPr>
          <w:rStyle w:val="Strong"/>
          <w:rFonts w:ascii="Times New Roman" w:hAnsi="Times New Roman" w:cs="Times New Roman"/>
          <w:b w:val="0"/>
        </w:rPr>
        <w:t xml:space="preserve">the </w:t>
      </w:r>
      <w:r w:rsidR="007E060B">
        <w:rPr>
          <w:rStyle w:val="Strong"/>
          <w:rFonts w:ascii="Times New Roman" w:hAnsi="Times New Roman" w:cs="Times New Roman"/>
          <w:b w:val="0"/>
        </w:rPr>
        <w:t xml:space="preserve">year of enrolment and 36% of Māori (ns when adjusted). </w:t>
      </w:r>
      <w:r w:rsidR="00AC6550">
        <w:rPr>
          <w:rStyle w:val="Strong"/>
          <w:rFonts w:ascii="Times New Roman" w:hAnsi="Times New Roman" w:cs="Times New Roman"/>
          <w:b w:val="0"/>
        </w:rPr>
        <w:t>According to Fried</w:t>
      </w:r>
      <w:r w:rsidR="004B52C7">
        <w:rPr>
          <w:rStyle w:val="Strong"/>
          <w:rFonts w:ascii="Times New Roman" w:hAnsi="Times New Roman" w:cs="Times New Roman"/>
          <w:b w:val="0"/>
        </w:rPr>
        <w:t>,</w:t>
      </w:r>
      <w:r w:rsidR="00AC6550">
        <w:rPr>
          <w:rStyle w:val="Strong"/>
          <w:rFonts w:ascii="Times New Roman" w:hAnsi="Times New Roman" w:cs="Times New Roman"/>
          <w:b w:val="0"/>
        </w:rPr>
        <w:t xml:space="preserve"> </w:t>
      </w:r>
      <w:r w:rsidR="00951401">
        <w:rPr>
          <w:rStyle w:val="Strong"/>
          <w:rFonts w:ascii="Times New Roman" w:hAnsi="Times New Roman" w:cs="Times New Roman"/>
          <w:b w:val="0"/>
        </w:rPr>
        <w:t xml:space="preserve">Māori were less frail than non-Māori. </w:t>
      </w:r>
      <w:proofErr w:type="spellStart"/>
      <w:r w:rsidR="00C12D50">
        <w:rPr>
          <w:rStyle w:val="Strong"/>
          <w:rFonts w:ascii="Times New Roman" w:hAnsi="Times New Roman" w:cs="Times New Roman"/>
          <w:b w:val="0"/>
        </w:rPr>
        <w:t>Māori</w:t>
      </w:r>
      <w:proofErr w:type="spellEnd"/>
      <w:r w:rsidR="006F0BCF">
        <w:rPr>
          <w:rStyle w:val="Strong"/>
          <w:rFonts w:ascii="Times New Roman" w:hAnsi="Times New Roman" w:cs="Times New Roman"/>
          <w:b w:val="0"/>
        </w:rPr>
        <w:t>:</w:t>
      </w:r>
      <w:r w:rsidR="00C12D50">
        <w:rPr>
          <w:rStyle w:val="Strong"/>
          <w:rFonts w:ascii="Times New Roman" w:hAnsi="Times New Roman" w:cs="Times New Roman"/>
          <w:b w:val="0"/>
        </w:rPr>
        <w:t xml:space="preserve"> 34% </w:t>
      </w:r>
      <w:proofErr w:type="spellStart"/>
      <w:r w:rsidR="00C12D50">
        <w:rPr>
          <w:rStyle w:val="Strong"/>
          <w:rFonts w:ascii="Times New Roman" w:hAnsi="Times New Roman" w:cs="Times New Roman"/>
          <w:b w:val="0"/>
        </w:rPr>
        <w:t>notfrail</w:t>
      </w:r>
      <w:proofErr w:type="spellEnd"/>
      <w:r w:rsidR="00C12D50">
        <w:rPr>
          <w:rStyle w:val="Strong"/>
          <w:rFonts w:ascii="Times New Roman" w:hAnsi="Times New Roman" w:cs="Times New Roman"/>
          <w:b w:val="0"/>
        </w:rPr>
        <w:t xml:space="preserve">, 59% </w:t>
      </w:r>
      <w:proofErr w:type="spellStart"/>
      <w:r w:rsidR="00C12D50">
        <w:rPr>
          <w:rStyle w:val="Strong"/>
          <w:rFonts w:ascii="Times New Roman" w:hAnsi="Times New Roman" w:cs="Times New Roman"/>
          <w:b w:val="0"/>
        </w:rPr>
        <w:t>prefrail</w:t>
      </w:r>
      <w:proofErr w:type="spellEnd"/>
      <w:r w:rsidR="002848E7">
        <w:rPr>
          <w:rStyle w:val="Strong"/>
          <w:rFonts w:ascii="Times New Roman" w:hAnsi="Times New Roman" w:cs="Times New Roman"/>
          <w:b w:val="0"/>
        </w:rPr>
        <w:t>,</w:t>
      </w:r>
      <w:r w:rsidR="00C12D50">
        <w:rPr>
          <w:rStyle w:val="Strong"/>
          <w:rFonts w:ascii="Times New Roman" w:hAnsi="Times New Roman" w:cs="Times New Roman"/>
          <w:b w:val="0"/>
        </w:rPr>
        <w:t xml:space="preserve"> 7% frail; </w:t>
      </w:r>
      <w:r w:rsidR="002160AD">
        <w:rPr>
          <w:rStyle w:val="Strong"/>
          <w:rFonts w:ascii="Times New Roman" w:hAnsi="Times New Roman" w:cs="Times New Roman"/>
          <w:b w:val="0"/>
        </w:rPr>
        <w:t>non-</w:t>
      </w:r>
      <w:proofErr w:type="spellStart"/>
      <w:r w:rsidR="002160AD">
        <w:rPr>
          <w:rStyle w:val="Strong"/>
          <w:rFonts w:ascii="Times New Roman" w:hAnsi="Times New Roman" w:cs="Times New Roman"/>
          <w:b w:val="0"/>
        </w:rPr>
        <w:t>Māori</w:t>
      </w:r>
      <w:proofErr w:type="spellEnd"/>
      <w:r w:rsidR="002160AD">
        <w:rPr>
          <w:rStyle w:val="Strong"/>
          <w:rFonts w:ascii="Times New Roman" w:hAnsi="Times New Roman" w:cs="Times New Roman"/>
          <w:b w:val="0"/>
        </w:rPr>
        <w:t xml:space="preserve"> 20% </w:t>
      </w:r>
      <w:proofErr w:type="spellStart"/>
      <w:r w:rsidR="002160AD">
        <w:rPr>
          <w:rStyle w:val="Strong"/>
          <w:rFonts w:ascii="Times New Roman" w:hAnsi="Times New Roman" w:cs="Times New Roman"/>
          <w:b w:val="0"/>
        </w:rPr>
        <w:t>notfrail</w:t>
      </w:r>
      <w:proofErr w:type="spellEnd"/>
      <w:r w:rsidR="002160AD">
        <w:rPr>
          <w:rStyle w:val="Strong"/>
          <w:rFonts w:ascii="Times New Roman" w:hAnsi="Times New Roman" w:cs="Times New Roman"/>
          <w:b w:val="0"/>
        </w:rPr>
        <w:t xml:space="preserve">, 65% </w:t>
      </w:r>
      <w:proofErr w:type="spellStart"/>
      <w:r w:rsidR="002160AD">
        <w:rPr>
          <w:rStyle w:val="Strong"/>
          <w:rFonts w:ascii="Times New Roman" w:hAnsi="Times New Roman" w:cs="Times New Roman"/>
          <w:b w:val="0"/>
        </w:rPr>
        <w:t>prefrail</w:t>
      </w:r>
      <w:proofErr w:type="spellEnd"/>
      <w:r w:rsidR="002160AD">
        <w:rPr>
          <w:rStyle w:val="Strong"/>
          <w:rFonts w:ascii="Times New Roman" w:hAnsi="Times New Roman" w:cs="Times New Roman"/>
          <w:b w:val="0"/>
        </w:rPr>
        <w:t xml:space="preserve"> and 15% frail</w:t>
      </w:r>
      <w:r w:rsidR="00C12D50">
        <w:rPr>
          <w:rStyle w:val="Strong"/>
          <w:rFonts w:ascii="Times New Roman" w:hAnsi="Times New Roman" w:cs="Times New Roman"/>
          <w:b w:val="0"/>
        </w:rPr>
        <w:t>(p &lt;0.001)</w:t>
      </w:r>
      <w:r w:rsidR="004B52C7">
        <w:rPr>
          <w:rStyle w:val="Strong"/>
          <w:rFonts w:ascii="Times New Roman" w:hAnsi="Times New Roman" w:cs="Times New Roman"/>
          <w:b w:val="0"/>
        </w:rPr>
        <w:t xml:space="preserve"> with </w:t>
      </w:r>
      <w:r w:rsidR="00C12D50">
        <w:rPr>
          <w:rStyle w:val="Strong"/>
          <w:rFonts w:ascii="Times New Roman" w:hAnsi="Times New Roman" w:cs="Times New Roman"/>
          <w:b w:val="0"/>
        </w:rPr>
        <w:t xml:space="preserve">no </w:t>
      </w:r>
      <w:r w:rsidR="004B52C7">
        <w:rPr>
          <w:rStyle w:val="Strong"/>
          <w:rFonts w:ascii="Times New Roman" w:hAnsi="Times New Roman" w:cs="Times New Roman"/>
          <w:b w:val="0"/>
        </w:rPr>
        <w:t xml:space="preserve">gender </w:t>
      </w:r>
      <w:r w:rsidR="00C12D50">
        <w:rPr>
          <w:rStyle w:val="Strong"/>
          <w:rFonts w:ascii="Times New Roman" w:hAnsi="Times New Roman" w:cs="Times New Roman"/>
          <w:b w:val="0"/>
        </w:rPr>
        <w:t>variation</w:t>
      </w:r>
      <w:r w:rsidR="00951401">
        <w:rPr>
          <w:rStyle w:val="Strong"/>
          <w:rFonts w:ascii="Times New Roman" w:hAnsi="Times New Roman" w:cs="Times New Roman"/>
          <w:b w:val="0"/>
        </w:rPr>
        <w:t xml:space="preserve">. </w:t>
      </w:r>
      <w:r w:rsidR="007E060B">
        <w:rPr>
          <w:rStyle w:val="Strong"/>
          <w:rFonts w:ascii="Times New Roman" w:hAnsi="Times New Roman" w:cs="Times New Roman"/>
          <w:b w:val="0"/>
        </w:rPr>
        <w:t xml:space="preserve">Scores on the Rockwood Index did not differ by ethnicity. </w:t>
      </w:r>
      <w:r w:rsidR="002250F9">
        <w:rPr>
          <w:rStyle w:val="Strong"/>
          <w:rFonts w:ascii="Times New Roman" w:hAnsi="Times New Roman" w:cs="Times New Roman"/>
          <w:b w:val="0"/>
        </w:rPr>
        <w:t>T</w:t>
      </w:r>
      <w:r w:rsidR="000868AA">
        <w:rPr>
          <w:rStyle w:val="Strong"/>
          <w:rFonts w:ascii="Times New Roman" w:hAnsi="Times New Roman" w:cs="Times New Roman"/>
          <w:b w:val="0"/>
        </w:rPr>
        <w:t xml:space="preserve">he lowest </w:t>
      </w:r>
      <w:r w:rsidR="002250F9">
        <w:rPr>
          <w:rStyle w:val="Strong"/>
          <w:rFonts w:ascii="Times New Roman" w:hAnsi="Times New Roman" w:cs="Times New Roman"/>
          <w:b w:val="0"/>
        </w:rPr>
        <w:t xml:space="preserve">and highest Rockwood </w:t>
      </w:r>
      <w:r w:rsidR="000868AA">
        <w:rPr>
          <w:rStyle w:val="Strong"/>
          <w:rFonts w:ascii="Times New Roman" w:hAnsi="Times New Roman" w:cs="Times New Roman"/>
          <w:b w:val="0"/>
        </w:rPr>
        <w:t>quartile had 10% and 47%</w:t>
      </w:r>
      <w:r w:rsidR="00EC0238">
        <w:rPr>
          <w:rStyle w:val="Strong"/>
          <w:rFonts w:ascii="Times New Roman" w:hAnsi="Times New Roman" w:cs="Times New Roman"/>
          <w:b w:val="0"/>
        </w:rPr>
        <w:t xml:space="preserve"> </w:t>
      </w:r>
      <w:r w:rsidR="000B1619">
        <w:rPr>
          <w:rStyle w:val="Strong"/>
          <w:rFonts w:ascii="Times New Roman" w:hAnsi="Times New Roman" w:cs="Times New Roman"/>
          <w:b w:val="0"/>
        </w:rPr>
        <w:t xml:space="preserve">mortality </w:t>
      </w:r>
      <w:r w:rsidR="00EC0238">
        <w:rPr>
          <w:rStyle w:val="Strong"/>
          <w:rFonts w:ascii="Times New Roman" w:hAnsi="Times New Roman" w:cs="Times New Roman"/>
          <w:b w:val="0"/>
        </w:rPr>
        <w:t xml:space="preserve">(p&lt;0.001) for Māori and </w:t>
      </w:r>
      <w:r w:rsidR="000868AA">
        <w:rPr>
          <w:rStyle w:val="Strong"/>
          <w:rFonts w:ascii="Times New Roman" w:hAnsi="Times New Roman" w:cs="Times New Roman"/>
          <w:b w:val="0"/>
        </w:rPr>
        <w:t>6% and 38% mortality</w:t>
      </w:r>
      <w:r w:rsidR="000B1619">
        <w:rPr>
          <w:rStyle w:val="Strong"/>
          <w:rFonts w:ascii="Times New Roman" w:hAnsi="Times New Roman" w:cs="Times New Roman"/>
          <w:b w:val="0"/>
        </w:rPr>
        <w:t xml:space="preserve"> (p&lt;0.001</w:t>
      </w:r>
      <w:r w:rsidR="00EC0238">
        <w:rPr>
          <w:rStyle w:val="Strong"/>
          <w:rFonts w:ascii="Times New Roman" w:hAnsi="Times New Roman" w:cs="Times New Roman"/>
          <w:b w:val="0"/>
        </w:rPr>
        <w:t xml:space="preserve">) </w:t>
      </w:r>
      <w:r w:rsidR="000868AA">
        <w:rPr>
          <w:rStyle w:val="Strong"/>
          <w:rFonts w:ascii="Times New Roman" w:hAnsi="Times New Roman" w:cs="Times New Roman"/>
          <w:b w:val="0"/>
        </w:rPr>
        <w:t>for non-Māori</w:t>
      </w:r>
      <w:r w:rsidR="00EC0238">
        <w:rPr>
          <w:rStyle w:val="Strong"/>
          <w:rFonts w:ascii="Times New Roman" w:hAnsi="Times New Roman" w:cs="Times New Roman"/>
          <w:b w:val="0"/>
        </w:rPr>
        <w:t xml:space="preserve">. Fried showed 40% and 20% (p 0.016) mortality for the frail and </w:t>
      </w:r>
      <w:proofErr w:type="spellStart"/>
      <w:r w:rsidR="00EC0238">
        <w:rPr>
          <w:rStyle w:val="Strong"/>
          <w:rFonts w:ascii="Times New Roman" w:hAnsi="Times New Roman" w:cs="Times New Roman"/>
          <w:b w:val="0"/>
        </w:rPr>
        <w:t>prefrail</w:t>
      </w:r>
      <w:proofErr w:type="spellEnd"/>
      <w:r w:rsidR="00EC0238">
        <w:rPr>
          <w:rStyle w:val="Strong"/>
          <w:rFonts w:ascii="Times New Roman" w:hAnsi="Times New Roman" w:cs="Times New Roman"/>
          <w:b w:val="0"/>
        </w:rPr>
        <w:t xml:space="preserve"> group respectively for Māori and </w:t>
      </w:r>
      <w:r w:rsidR="00043233">
        <w:rPr>
          <w:rStyle w:val="Strong"/>
          <w:rFonts w:ascii="Times New Roman" w:hAnsi="Times New Roman" w:cs="Times New Roman"/>
          <w:b w:val="0"/>
        </w:rPr>
        <w:t xml:space="preserve">28% and </w:t>
      </w:r>
      <w:r w:rsidR="00EC0238">
        <w:rPr>
          <w:rStyle w:val="Strong"/>
          <w:rFonts w:ascii="Times New Roman" w:hAnsi="Times New Roman" w:cs="Times New Roman"/>
          <w:b w:val="0"/>
        </w:rPr>
        <w:t xml:space="preserve">16% </w:t>
      </w:r>
      <w:r w:rsidR="009E0608">
        <w:rPr>
          <w:rStyle w:val="Strong"/>
          <w:rFonts w:ascii="Times New Roman" w:hAnsi="Times New Roman" w:cs="Times New Roman"/>
          <w:b w:val="0"/>
        </w:rPr>
        <w:t xml:space="preserve">(p 0.004) </w:t>
      </w:r>
      <w:r w:rsidR="00EC0238">
        <w:rPr>
          <w:rStyle w:val="Strong"/>
          <w:rFonts w:ascii="Times New Roman" w:hAnsi="Times New Roman" w:cs="Times New Roman"/>
          <w:b w:val="0"/>
        </w:rPr>
        <w:t xml:space="preserve">for non-Māori. </w:t>
      </w:r>
      <w:r w:rsidR="004C493B">
        <w:rPr>
          <w:rStyle w:val="Strong"/>
          <w:rFonts w:ascii="Times New Roman" w:hAnsi="Times New Roman" w:cs="Times New Roman"/>
          <w:b w:val="0"/>
        </w:rPr>
        <w:t xml:space="preserve">Using regression the Rockwood </w:t>
      </w:r>
      <w:r w:rsidR="00AC1B0B">
        <w:rPr>
          <w:rStyle w:val="Strong"/>
          <w:rFonts w:ascii="Times New Roman" w:hAnsi="Times New Roman" w:cs="Times New Roman"/>
          <w:b w:val="0"/>
        </w:rPr>
        <w:t xml:space="preserve">and Fried both </w:t>
      </w:r>
      <w:r w:rsidR="002250F9">
        <w:rPr>
          <w:rStyle w:val="Strong"/>
          <w:rFonts w:ascii="Times New Roman" w:hAnsi="Times New Roman" w:cs="Times New Roman"/>
          <w:b w:val="0"/>
        </w:rPr>
        <w:t>predicated mortality</w:t>
      </w:r>
      <w:r w:rsidR="00CF7038">
        <w:rPr>
          <w:rStyle w:val="Strong"/>
          <w:rFonts w:ascii="Times New Roman" w:hAnsi="Times New Roman" w:cs="Times New Roman"/>
          <w:b w:val="0"/>
        </w:rPr>
        <w:t xml:space="preserve"> (p&lt;0.002)</w:t>
      </w:r>
      <w:r w:rsidR="00AC1B0B">
        <w:rPr>
          <w:rStyle w:val="Strong"/>
          <w:rFonts w:ascii="Times New Roman" w:hAnsi="Times New Roman" w:cs="Times New Roman"/>
          <w:b w:val="0"/>
        </w:rPr>
        <w:t xml:space="preserve">. Falls significantly predicated mortality and was completely confounded by the Fried scale, but not the Rockwood. </w:t>
      </w:r>
    </w:p>
    <w:p w:rsidR="00586B72" w:rsidRPr="00421543" w:rsidRDefault="00586B72">
      <w:pPr>
        <w:rPr>
          <w:rStyle w:val="Strong"/>
          <w:rFonts w:ascii="Times New Roman" w:hAnsi="Times New Roman" w:cs="Times New Roman"/>
          <w:b w:val="0"/>
        </w:rPr>
      </w:pPr>
      <w:r w:rsidRPr="00373BE8">
        <w:rPr>
          <w:rStyle w:val="Strong"/>
          <w:rFonts w:ascii="Times New Roman" w:hAnsi="Times New Roman" w:cs="Times New Roman"/>
        </w:rPr>
        <w:t>Conclusions:</w:t>
      </w:r>
      <w:r w:rsidR="00421543">
        <w:rPr>
          <w:rStyle w:val="Strong"/>
          <w:rFonts w:ascii="Times New Roman" w:hAnsi="Times New Roman" w:cs="Times New Roman"/>
        </w:rPr>
        <w:t xml:space="preserve"> </w:t>
      </w:r>
      <w:r w:rsidR="000C575B">
        <w:rPr>
          <w:rStyle w:val="Strong"/>
          <w:rFonts w:ascii="Times New Roman" w:hAnsi="Times New Roman" w:cs="Times New Roman"/>
          <w:b w:val="0"/>
        </w:rPr>
        <w:t>Māori may be less frail then non-Māori.</w:t>
      </w:r>
      <w:r w:rsidR="0093212D">
        <w:rPr>
          <w:rStyle w:val="Strong"/>
          <w:rFonts w:ascii="Times New Roman" w:hAnsi="Times New Roman" w:cs="Times New Roman"/>
          <w:b w:val="0"/>
        </w:rPr>
        <w:t xml:space="preserve"> Falls maintained prediction of mortality independent of </w:t>
      </w:r>
      <w:proofErr w:type="spellStart"/>
      <w:r w:rsidR="0093212D">
        <w:rPr>
          <w:rStyle w:val="Strong"/>
          <w:rFonts w:ascii="Times New Roman" w:hAnsi="Times New Roman" w:cs="Times New Roman"/>
          <w:b w:val="0"/>
        </w:rPr>
        <w:t>Rockwoods</w:t>
      </w:r>
      <w:proofErr w:type="spellEnd"/>
      <w:r w:rsidR="0093212D">
        <w:rPr>
          <w:rStyle w:val="Strong"/>
          <w:rFonts w:ascii="Times New Roman" w:hAnsi="Times New Roman" w:cs="Times New Roman"/>
          <w:b w:val="0"/>
        </w:rPr>
        <w:t xml:space="preserve"> scale for both</w:t>
      </w:r>
      <w:r w:rsidR="00421543">
        <w:rPr>
          <w:rStyle w:val="Strong"/>
          <w:rFonts w:ascii="Times New Roman" w:hAnsi="Times New Roman" w:cs="Times New Roman"/>
          <w:b w:val="0"/>
        </w:rPr>
        <w:t xml:space="preserve"> </w:t>
      </w:r>
      <w:r w:rsidR="00A508E5">
        <w:rPr>
          <w:rStyle w:val="Strong"/>
          <w:rFonts w:ascii="Times New Roman" w:hAnsi="Times New Roman" w:cs="Times New Roman"/>
          <w:b w:val="0"/>
        </w:rPr>
        <w:t>Māori and non-Māori</w:t>
      </w:r>
      <w:r w:rsidR="000C575B">
        <w:rPr>
          <w:rStyle w:val="Strong"/>
          <w:rFonts w:ascii="Times New Roman" w:hAnsi="Times New Roman" w:cs="Times New Roman"/>
          <w:b w:val="0"/>
        </w:rPr>
        <w:t xml:space="preserve"> but not Frieds</w:t>
      </w:r>
      <w:r w:rsidR="00421543">
        <w:rPr>
          <w:rStyle w:val="Strong"/>
          <w:rFonts w:ascii="Times New Roman" w:hAnsi="Times New Roman" w:cs="Times New Roman"/>
          <w:b w:val="0"/>
        </w:rPr>
        <w:t xml:space="preserve">. </w:t>
      </w:r>
      <w:r w:rsidR="0093212D">
        <w:rPr>
          <w:rStyle w:val="Strong"/>
          <w:rFonts w:ascii="Times New Roman" w:hAnsi="Times New Roman" w:cs="Times New Roman"/>
          <w:b w:val="0"/>
        </w:rPr>
        <w:t xml:space="preserve">The two frailty concepts measure different things. </w:t>
      </w:r>
    </w:p>
    <w:p w:rsidR="00586B72" w:rsidRPr="00373BE8" w:rsidRDefault="00586B72">
      <w:pPr>
        <w:rPr>
          <w:rStyle w:val="Strong"/>
          <w:rFonts w:ascii="Times New Roman" w:hAnsi="Times New Roman" w:cs="Times New Roman"/>
        </w:rPr>
      </w:pPr>
    </w:p>
    <w:sectPr w:rsidR="00586B72" w:rsidRPr="00373BE8" w:rsidSect="00402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BC0"/>
    <w:multiLevelType w:val="hybridMultilevel"/>
    <w:tmpl w:val="AB2888B0"/>
    <w:lvl w:ilvl="0" w:tplc="1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DA9"/>
    <w:rsid w:val="00043233"/>
    <w:rsid w:val="000868AA"/>
    <w:rsid w:val="000B1619"/>
    <w:rsid w:val="000C575B"/>
    <w:rsid w:val="000D00B8"/>
    <w:rsid w:val="00145898"/>
    <w:rsid w:val="00155202"/>
    <w:rsid w:val="001A54B2"/>
    <w:rsid w:val="001B7861"/>
    <w:rsid w:val="001F4797"/>
    <w:rsid w:val="002160AD"/>
    <w:rsid w:val="002250F9"/>
    <w:rsid w:val="00226BBB"/>
    <w:rsid w:val="00254C5D"/>
    <w:rsid w:val="002848E7"/>
    <w:rsid w:val="002F66BF"/>
    <w:rsid w:val="003446DB"/>
    <w:rsid w:val="00370E1E"/>
    <w:rsid w:val="00373BE8"/>
    <w:rsid w:val="00402FE6"/>
    <w:rsid w:val="00421543"/>
    <w:rsid w:val="00474E07"/>
    <w:rsid w:val="004B52C7"/>
    <w:rsid w:val="004C271C"/>
    <w:rsid w:val="004C493B"/>
    <w:rsid w:val="004E7767"/>
    <w:rsid w:val="0050746D"/>
    <w:rsid w:val="00514EC0"/>
    <w:rsid w:val="005536E6"/>
    <w:rsid w:val="00586B72"/>
    <w:rsid w:val="005C7E96"/>
    <w:rsid w:val="00641B25"/>
    <w:rsid w:val="006504B3"/>
    <w:rsid w:val="006F0BCF"/>
    <w:rsid w:val="0074562A"/>
    <w:rsid w:val="00750394"/>
    <w:rsid w:val="007B7B62"/>
    <w:rsid w:val="007E060B"/>
    <w:rsid w:val="008015E6"/>
    <w:rsid w:val="008A311B"/>
    <w:rsid w:val="008C3964"/>
    <w:rsid w:val="009060D7"/>
    <w:rsid w:val="009063AC"/>
    <w:rsid w:val="00931771"/>
    <w:rsid w:val="0093212D"/>
    <w:rsid w:val="00951401"/>
    <w:rsid w:val="00995961"/>
    <w:rsid w:val="009B1BE2"/>
    <w:rsid w:val="009E0608"/>
    <w:rsid w:val="00A120E8"/>
    <w:rsid w:val="00A508E5"/>
    <w:rsid w:val="00AA4F65"/>
    <w:rsid w:val="00AC1B0B"/>
    <w:rsid w:val="00AC6550"/>
    <w:rsid w:val="00AF2AAB"/>
    <w:rsid w:val="00B0211C"/>
    <w:rsid w:val="00BC0491"/>
    <w:rsid w:val="00BC36C3"/>
    <w:rsid w:val="00BF3FB4"/>
    <w:rsid w:val="00C12D50"/>
    <w:rsid w:val="00C22F85"/>
    <w:rsid w:val="00C25731"/>
    <w:rsid w:val="00C43FC3"/>
    <w:rsid w:val="00CB4DA9"/>
    <w:rsid w:val="00CF7038"/>
    <w:rsid w:val="00D01220"/>
    <w:rsid w:val="00D04D78"/>
    <w:rsid w:val="00D203DF"/>
    <w:rsid w:val="00D2074C"/>
    <w:rsid w:val="00D44BF6"/>
    <w:rsid w:val="00D97E3C"/>
    <w:rsid w:val="00DB08BD"/>
    <w:rsid w:val="00DC7EC7"/>
    <w:rsid w:val="00E341A9"/>
    <w:rsid w:val="00E83B71"/>
    <w:rsid w:val="00E847BA"/>
    <w:rsid w:val="00E929AE"/>
    <w:rsid w:val="00E95640"/>
    <w:rsid w:val="00EC0238"/>
    <w:rsid w:val="00ED352F"/>
    <w:rsid w:val="00F10A18"/>
    <w:rsid w:val="00F22631"/>
    <w:rsid w:val="00F27973"/>
    <w:rsid w:val="00F30468"/>
    <w:rsid w:val="00F71CA5"/>
    <w:rsid w:val="00FB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B4D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86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586B72"/>
    <w:rPr>
      <w:i/>
      <w:iCs/>
    </w:rPr>
  </w:style>
  <w:style w:type="paragraph" w:styleId="ListParagraph">
    <w:name w:val="List Paragraph"/>
    <w:basedOn w:val="Normal"/>
    <w:uiPriority w:val="34"/>
    <w:qFormat/>
    <w:rsid w:val="00586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B4D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86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586B72"/>
    <w:rPr>
      <w:i/>
      <w:iCs/>
    </w:rPr>
  </w:style>
  <w:style w:type="paragraph" w:styleId="ListParagraph">
    <w:name w:val="List Paragraph"/>
    <w:basedOn w:val="Normal"/>
    <w:uiPriority w:val="34"/>
    <w:qFormat/>
    <w:rsid w:val="00586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cp:lastPrinted>2015-07-31T19:58:00Z</cp:lastPrinted>
  <dcterms:created xsi:type="dcterms:W3CDTF">2015-07-31T19:58:00Z</dcterms:created>
  <dcterms:modified xsi:type="dcterms:W3CDTF">2015-07-31T19:58:00Z</dcterms:modified>
</cp:coreProperties>
</file>